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FD6431" w14:textId="77777777" w:rsidR="003345D0" w:rsidRPr="007362AE" w:rsidRDefault="003345D0" w:rsidP="003345D0">
      <w:pPr>
        <w:pStyle w:val="Heading2"/>
        <w:jc w:val="left"/>
        <w:rPr>
          <w:rFonts w:asciiTheme="minorHAnsi" w:hAnsiTheme="minorHAnsi"/>
          <w:sz w:val="28"/>
          <w:szCs w:val="28"/>
          <w:u w:val="none"/>
        </w:rPr>
      </w:pPr>
      <w:r w:rsidRPr="007362AE">
        <w:rPr>
          <w:rFonts w:asciiTheme="minorHAnsi" w:hAnsiTheme="minorHAnsi"/>
          <w:sz w:val="28"/>
          <w:szCs w:val="28"/>
          <w:u w:val="none"/>
        </w:rPr>
        <w:t>Purpose</w:t>
      </w:r>
    </w:p>
    <w:p w14:paraId="3DF97980" w14:textId="1E386526" w:rsidR="003345D0" w:rsidRPr="00AD7867" w:rsidRDefault="003345D0" w:rsidP="003345D0">
      <w:pPr>
        <w:rPr>
          <w:lang w:val="en-GB"/>
        </w:rPr>
      </w:pPr>
      <w:r w:rsidRPr="1A873E45">
        <w:rPr>
          <w:lang w:val="en-GB"/>
        </w:rPr>
        <w:t xml:space="preserve">The purpose of this </w:t>
      </w:r>
      <w:r w:rsidR="00E8636C" w:rsidRPr="1A873E45">
        <w:rPr>
          <w:lang w:val="en-GB"/>
        </w:rPr>
        <w:t xml:space="preserve">supporting security policy </w:t>
      </w:r>
      <w:r w:rsidRPr="1A873E45">
        <w:rPr>
          <w:lang w:val="en-GB"/>
        </w:rPr>
        <w:t>is to ensure that adequate processes and controls are in place to</w:t>
      </w:r>
      <w:r w:rsidR="007E6206">
        <w:rPr>
          <w:lang w:val="en-GB"/>
        </w:rPr>
        <w:t xml:space="preserve"> measure the efficacy of the security program and to</w:t>
      </w:r>
      <w:r w:rsidRPr="1A873E45">
        <w:rPr>
          <w:lang w:val="en-GB"/>
        </w:rPr>
        <w:t xml:space="preserve"> </w:t>
      </w:r>
      <w:r w:rsidR="004D3D97" w:rsidRPr="1A873E45">
        <w:rPr>
          <w:lang w:val="en-GB"/>
        </w:rPr>
        <w:t>identi</w:t>
      </w:r>
      <w:r w:rsidR="00E60B05" w:rsidRPr="1A873E45">
        <w:rPr>
          <w:lang w:val="en-GB"/>
        </w:rPr>
        <w:t xml:space="preserve">fy, </w:t>
      </w:r>
      <w:r w:rsidR="00477215" w:rsidRPr="1A873E45">
        <w:rPr>
          <w:lang w:val="en-GB"/>
        </w:rPr>
        <w:t>analyse</w:t>
      </w:r>
      <w:r w:rsidR="00E60B05" w:rsidRPr="1A873E45">
        <w:rPr>
          <w:lang w:val="en-GB"/>
        </w:rPr>
        <w:t xml:space="preserve">, and </w:t>
      </w:r>
      <w:r w:rsidRPr="1A873E45">
        <w:rPr>
          <w:lang w:val="en-GB"/>
        </w:rPr>
        <w:t xml:space="preserve">mitigate </w:t>
      </w:r>
      <w:r w:rsidR="00E60B05" w:rsidRPr="1A873E45">
        <w:rPr>
          <w:lang w:val="en-GB"/>
        </w:rPr>
        <w:t xml:space="preserve">security </w:t>
      </w:r>
      <w:r w:rsidRPr="1A873E45">
        <w:rPr>
          <w:lang w:val="en-GB"/>
        </w:rPr>
        <w:t>risks</w:t>
      </w:r>
      <w:r w:rsidR="001F2D28" w:rsidRPr="1A873E45">
        <w:rPr>
          <w:lang w:val="en-GB"/>
        </w:rPr>
        <w:t xml:space="preserve">, aligned with the </w:t>
      </w:r>
      <w:r w:rsidR="005122E1" w:rsidRPr="002F574C">
        <w:rPr>
          <w:highlight w:val="yellow"/>
          <w:lang w:val="en-GB"/>
        </w:rPr>
        <w:t>&lt;ORG_NAME</w:t>
      </w:r>
      <w:r w:rsidR="005122E1" w:rsidRPr="007E6206">
        <w:rPr>
          <w:highlight w:val="yellow"/>
          <w:lang w:val="en-GB"/>
        </w:rPr>
        <w:t>&gt;</w:t>
      </w:r>
      <w:r w:rsidR="001F2D28" w:rsidRPr="007E6206">
        <w:rPr>
          <w:highlight w:val="yellow"/>
          <w:lang w:val="en-GB"/>
        </w:rPr>
        <w:t xml:space="preserve"> Enterprise Risk Management Policy</w:t>
      </w:r>
      <w:r w:rsidR="00E60B05" w:rsidRPr="1A873E45">
        <w:rPr>
          <w:lang w:val="en-GB"/>
        </w:rPr>
        <w:t>.</w:t>
      </w:r>
      <w:r w:rsidRPr="1A873E45">
        <w:rPr>
          <w:lang w:val="en-GB"/>
        </w:rPr>
        <w:t xml:space="preserve"> </w:t>
      </w:r>
      <w:r w:rsidR="00E60B05" w:rsidRPr="1A873E45">
        <w:rPr>
          <w:lang w:val="en-GB"/>
        </w:rPr>
        <w:t xml:space="preserve">The </w:t>
      </w:r>
      <w:r w:rsidR="00283908" w:rsidRPr="1A873E45">
        <w:rPr>
          <w:lang w:val="en-GB"/>
        </w:rPr>
        <w:t xml:space="preserve">policy </w:t>
      </w:r>
      <w:r w:rsidR="00E60B05" w:rsidRPr="1A873E45">
        <w:rPr>
          <w:lang w:val="en-GB"/>
        </w:rPr>
        <w:t xml:space="preserve">will further </w:t>
      </w:r>
      <w:r w:rsidRPr="1A873E45">
        <w:rPr>
          <w:lang w:val="en-GB"/>
        </w:rPr>
        <w:t xml:space="preserve">measure progress </w:t>
      </w:r>
      <w:r w:rsidR="00FD76CB" w:rsidRPr="1A873E45">
        <w:rPr>
          <w:lang w:val="en-GB"/>
        </w:rPr>
        <w:t xml:space="preserve">related to security </w:t>
      </w:r>
      <w:r w:rsidR="00E8636C" w:rsidRPr="1A873E45">
        <w:rPr>
          <w:lang w:val="en-GB"/>
        </w:rPr>
        <w:t>performance</w:t>
      </w:r>
      <w:r w:rsidR="001F2D28" w:rsidRPr="1A873E45">
        <w:rPr>
          <w:lang w:val="en-GB"/>
        </w:rPr>
        <w:t>.</w:t>
      </w:r>
    </w:p>
    <w:p w14:paraId="26B70B34" w14:textId="77777777" w:rsidR="003345D0" w:rsidRPr="007362AE" w:rsidRDefault="003345D0" w:rsidP="003345D0">
      <w:pPr>
        <w:pStyle w:val="Heading2"/>
        <w:jc w:val="left"/>
        <w:rPr>
          <w:rFonts w:asciiTheme="minorHAnsi" w:hAnsiTheme="minorHAnsi"/>
          <w:sz w:val="28"/>
          <w:szCs w:val="28"/>
          <w:lang w:val="en-GB"/>
        </w:rPr>
      </w:pPr>
      <w:r w:rsidRPr="007362AE">
        <w:rPr>
          <w:rFonts w:asciiTheme="minorHAnsi" w:hAnsiTheme="minorHAnsi"/>
          <w:sz w:val="28"/>
          <w:szCs w:val="28"/>
          <w:u w:val="none"/>
        </w:rPr>
        <w:t>Scope</w:t>
      </w:r>
    </w:p>
    <w:p w14:paraId="57358C5A" w14:textId="367428DF" w:rsidR="00E60B05" w:rsidRPr="00F4641A" w:rsidRDefault="00E60B05" w:rsidP="00E60B05">
      <w:r w:rsidRPr="1A873E45">
        <w:rPr>
          <w:lang w:val="en-GB"/>
        </w:rPr>
        <w:t xml:space="preserve">This </w:t>
      </w:r>
      <w:r w:rsidR="00F846F9" w:rsidRPr="1A873E45">
        <w:rPr>
          <w:lang w:val="en-GB"/>
        </w:rPr>
        <w:t xml:space="preserve">Security </w:t>
      </w:r>
      <w:r w:rsidR="00E8636C" w:rsidRPr="1A873E45">
        <w:rPr>
          <w:lang w:val="en-GB"/>
        </w:rPr>
        <w:t xml:space="preserve">Risk Management – Supporting Security Policy </w:t>
      </w:r>
      <w:r w:rsidRPr="1A873E45">
        <w:rPr>
          <w:lang w:val="en-GB"/>
        </w:rPr>
        <w:t xml:space="preserve">applies </w:t>
      </w:r>
      <w:r w:rsidR="00F4641A" w:rsidRPr="007B40D5">
        <w:rPr>
          <w:rFonts w:ascii="Calibri" w:eastAsia="Times New Roman" w:hAnsi="Calibri" w:cs="Times New Roman"/>
        </w:rPr>
        <w:t xml:space="preserve">applies to all Directors of the Board, Officers, employees, representatives, and agents of the corporation, including contractors, consultants, and suppliers, collectively “Users”. This supporting security policy also applies to all </w:t>
      </w:r>
      <w:r w:rsidR="00F4641A" w:rsidRPr="00FB40FB">
        <w:rPr>
          <w:rFonts w:ascii="Calibri" w:eastAsia="Times New Roman" w:hAnsi="Calibri" w:cs="Times New Roman"/>
          <w:highlight w:val="yellow"/>
        </w:rPr>
        <w:t>&lt;ORG_NAME&gt;</w:t>
      </w:r>
      <w:r w:rsidR="00F4641A" w:rsidRPr="007B40D5">
        <w:rPr>
          <w:rFonts w:ascii="Calibri" w:eastAsia="Times New Roman" w:hAnsi="Calibri" w:cs="Times New Roman"/>
        </w:rPr>
        <w:t xml:space="preserve"> assets, including business processes, data,</w:t>
      </w:r>
      <w:r w:rsidR="00F4641A">
        <w:rPr>
          <w:rFonts w:ascii="Calibri" w:eastAsia="Times New Roman" w:hAnsi="Calibri" w:cs="Times New Roman"/>
        </w:rPr>
        <w:t xml:space="preserve"> and</w:t>
      </w:r>
      <w:r w:rsidR="00F4641A" w:rsidRPr="007B40D5">
        <w:rPr>
          <w:rFonts w:ascii="Calibri" w:eastAsia="Times New Roman" w:hAnsi="Calibri" w:cs="Times New Roman"/>
        </w:rPr>
        <w:t xml:space="preserve"> information systems.</w:t>
      </w:r>
    </w:p>
    <w:p w14:paraId="3C5636F5" w14:textId="77777777" w:rsidR="003345D0" w:rsidRPr="007362AE" w:rsidRDefault="00243C7B" w:rsidP="003345D0">
      <w:pPr>
        <w:pStyle w:val="Heading2"/>
        <w:jc w:val="left"/>
        <w:rPr>
          <w:rFonts w:asciiTheme="minorHAnsi" w:hAnsiTheme="minorHAnsi"/>
          <w:sz w:val="28"/>
          <w:szCs w:val="28"/>
          <w:u w:val="none"/>
          <w:lang w:val="en-GB"/>
        </w:rPr>
      </w:pPr>
      <w:r w:rsidRPr="007362AE">
        <w:rPr>
          <w:rFonts w:asciiTheme="minorHAnsi" w:hAnsiTheme="minorHAnsi"/>
          <w:sz w:val="28"/>
          <w:szCs w:val="28"/>
          <w:u w:val="none"/>
          <w:lang w:val="en-GB"/>
        </w:rPr>
        <w:t>Supporting Security Policy</w:t>
      </w:r>
    </w:p>
    <w:p w14:paraId="5925BADE" w14:textId="77777777" w:rsidR="005A6B3B" w:rsidRPr="00AD7867" w:rsidRDefault="005A6B3B" w:rsidP="005A6B3B">
      <w:pPr>
        <w:pStyle w:val="Heading2"/>
        <w:jc w:val="left"/>
        <w:rPr>
          <w:rFonts w:asciiTheme="minorHAnsi" w:hAnsiTheme="minorHAnsi"/>
          <w:sz w:val="22"/>
          <w:szCs w:val="22"/>
          <w:u w:val="none"/>
        </w:rPr>
      </w:pPr>
      <w:r w:rsidRPr="00AD7867">
        <w:rPr>
          <w:rFonts w:asciiTheme="minorHAnsi" w:hAnsiTheme="minorHAnsi"/>
          <w:sz w:val="22"/>
          <w:szCs w:val="22"/>
          <w:u w:val="none"/>
        </w:rPr>
        <w:t>Security Performance and Metrics:</w:t>
      </w:r>
    </w:p>
    <w:p w14:paraId="177EAFBE" w14:textId="77777777" w:rsidR="005A6B3B" w:rsidRPr="00AD7867" w:rsidRDefault="005A6B3B" w:rsidP="005A6B3B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</w:pPr>
      <w:r w:rsidRPr="007362AE">
        <w:rPr>
          <w:rFonts w:asciiTheme="minorHAnsi" w:eastAsiaTheme="minorEastAsia" w:hAnsiTheme="minorHAnsi" w:cstheme="minorBidi"/>
          <w:sz w:val="22"/>
          <w:szCs w:val="22"/>
          <w:highlight w:val="yellow"/>
          <w:lang w:val="en-GB" w:eastAsia="en-US"/>
        </w:rPr>
        <w:t>&lt;ORG_NAME&gt;</w:t>
      </w:r>
      <w:r w:rsidRPr="1A873E45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 </w:t>
      </w:r>
      <w:r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must </w:t>
      </w:r>
      <w:r w:rsidRPr="1A873E45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determine </w:t>
      </w:r>
      <w:r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metrics, including Key Performance Indicators (KPIs) and Key Risk Indicators (KRIs), </w:t>
      </w:r>
      <w:r w:rsidRPr="1A873E45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>to evaluate the performance and effectiveness of security and overall security risk management processes.</w:t>
      </w:r>
    </w:p>
    <w:p w14:paraId="52871BCF" w14:textId="77777777" w:rsidR="003345D0" w:rsidRPr="00AD7867" w:rsidRDefault="003345D0" w:rsidP="003345D0">
      <w:pPr>
        <w:pStyle w:val="Heading2"/>
        <w:jc w:val="left"/>
        <w:rPr>
          <w:rFonts w:asciiTheme="minorHAnsi" w:hAnsiTheme="minorHAnsi"/>
          <w:sz w:val="22"/>
          <w:szCs w:val="22"/>
          <w:u w:val="none"/>
        </w:rPr>
      </w:pPr>
      <w:r w:rsidRPr="00AD7867">
        <w:rPr>
          <w:rFonts w:asciiTheme="minorHAnsi" w:hAnsiTheme="minorHAnsi"/>
          <w:sz w:val="22"/>
          <w:szCs w:val="22"/>
          <w:u w:val="none"/>
        </w:rPr>
        <w:t>Risk Assessment and Mitigation:</w:t>
      </w:r>
    </w:p>
    <w:p w14:paraId="2442C6FE" w14:textId="7347C419" w:rsidR="003345D0" w:rsidRDefault="003345D0" w:rsidP="1A873E45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</w:pPr>
      <w:r w:rsidRPr="1A873E45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Security risk tolerance levels are defined, documented </w:t>
      </w:r>
      <w:r w:rsidRPr="1A873E45">
        <w:rPr>
          <w:rFonts w:asciiTheme="minorHAnsi" w:eastAsiaTheme="minorEastAsia" w:hAnsiTheme="minorHAnsi" w:cstheme="minorBidi"/>
          <w:noProof/>
          <w:sz w:val="22"/>
          <w:szCs w:val="22"/>
          <w:lang w:val="en-GB" w:eastAsia="en-US"/>
        </w:rPr>
        <w:t>in accordance with</w:t>
      </w:r>
      <w:r w:rsidRPr="1A873E45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 the </w:t>
      </w:r>
      <w:r w:rsidR="005122E1" w:rsidRPr="003C2889">
        <w:rPr>
          <w:rFonts w:asciiTheme="minorHAnsi" w:eastAsiaTheme="minorEastAsia" w:hAnsiTheme="minorHAnsi" w:cstheme="minorBidi"/>
          <w:sz w:val="22"/>
          <w:szCs w:val="22"/>
          <w:highlight w:val="yellow"/>
          <w:lang w:val="en-GB" w:eastAsia="en-US"/>
        </w:rPr>
        <w:t>&lt;ORG_NAME&gt;</w:t>
      </w:r>
      <w:r w:rsidRPr="003C2889">
        <w:rPr>
          <w:rFonts w:asciiTheme="minorHAnsi" w:eastAsiaTheme="minorEastAsia" w:hAnsiTheme="minorHAnsi" w:cstheme="minorBidi"/>
          <w:sz w:val="22"/>
          <w:szCs w:val="22"/>
          <w:highlight w:val="yellow"/>
          <w:lang w:val="en-GB" w:eastAsia="en-US"/>
        </w:rPr>
        <w:t xml:space="preserve"> Enterprise Risk Management </w:t>
      </w:r>
      <w:r w:rsidR="004877FE" w:rsidRPr="003C2889">
        <w:rPr>
          <w:rFonts w:asciiTheme="minorHAnsi" w:eastAsiaTheme="minorEastAsia" w:hAnsiTheme="minorHAnsi" w:cstheme="minorBidi"/>
          <w:sz w:val="22"/>
          <w:szCs w:val="22"/>
          <w:highlight w:val="yellow"/>
          <w:lang w:val="en-GB" w:eastAsia="en-US"/>
        </w:rPr>
        <w:t>Policy</w:t>
      </w:r>
      <w:r w:rsidRPr="1A873E45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>.</w:t>
      </w:r>
    </w:p>
    <w:p w14:paraId="05BA5252" w14:textId="7F731F77" w:rsidR="003345D0" w:rsidRDefault="008004BD" w:rsidP="1A873E45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</w:pPr>
      <w:r w:rsidRPr="00785CCB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Procedures for conducting </w:t>
      </w:r>
      <w:r w:rsidR="003B56DF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>security assessments</w:t>
      </w:r>
      <w:r w:rsidR="001D3A0E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, such as </w:t>
      </w:r>
      <w:r w:rsidR="003345D0" w:rsidRPr="00785CCB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>Threat Risk Assessments</w:t>
      </w:r>
      <w:r w:rsidR="001D3A0E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>,</w:t>
      </w:r>
      <w:r w:rsidR="003345D0" w:rsidRPr="00785CCB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 </w:t>
      </w:r>
      <w:r w:rsidR="00785CCB">
        <w:rPr>
          <w:rFonts w:asciiTheme="minorHAnsi" w:eastAsiaTheme="minorEastAsia" w:hAnsiTheme="minorHAnsi" w:cstheme="minorBidi"/>
          <w:noProof/>
          <w:sz w:val="22"/>
          <w:szCs w:val="22"/>
          <w:lang w:val="en-GB" w:eastAsia="en-US"/>
        </w:rPr>
        <w:t>must be defined</w:t>
      </w:r>
      <w:r w:rsidR="00A64124">
        <w:rPr>
          <w:rFonts w:asciiTheme="minorHAnsi" w:eastAsiaTheme="minorEastAsia" w:hAnsiTheme="minorHAnsi" w:cstheme="minorBidi"/>
          <w:noProof/>
          <w:sz w:val="22"/>
          <w:szCs w:val="22"/>
          <w:lang w:val="en-GB" w:eastAsia="en-US"/>
        </w:rPr>
        <w:t>.</w:t>
      </w:r>
    </w:p>
    <w:p w14:paraId="39324C47" w14:textId="578D7CEF" w:rsidR="007362AE" w:rsidRPr="00AD7867" w:rsidRDefault="007362AE" w:rsidP="007362AE">
      <w:pPr>
        <w:pStyle w:val="Heading2"/>
        <w:jc w:val="left"/>
        <w:rPr>
          <w:rFonts w:asciiTheme="minorHAnsi" w:hAnsiTheme="minorHAnsi"/>
          <w:sz w:val="22"/>
          <w:szCs w:val="22"/>
          <w:u w:val="none"/>
        </w:rPr>
      </w:pPr>
      <w:r w:rsidRPr="00AD7867">
        <w:rPr>
          <w:rFonts w:asciiTheme="minorHAnsi" w:hAnsiTheme="minorHAnsi"/>
          <w:sz w:val="22"/>
          <w:szCs w:val="22"/>
          <w:u w:val="none"/>
        </w:rPr>
        <w:t xml:space="preserve">Risk </w:t>
      </w:r>
      <w:r>
        <w:rPr>
          <w:rFonts w:asciiTheme="minorHAnsi" w:hAnsiTheme="minorHAnsi"/>
          <w:sz w:val="22"/>
          <w:szCs w:val="22"/>
          <w:u w:val="none"/>
        </w:rPr>
        <w:t>Treatment</w:t>
      </w:r>
      <w:r w:rsidRPr="00AD7867">
        <w:rPr>
          <w:rFonts w:asciiTheme="minorHAnsi" w:hAnsiTheme="minorHAnsi"/>
          <w:sz w:val="22"/>
          <w:szCs w:val="22"/>
          <w:u w:val="none"/>
        </w:rPr>
        <w:t>:</w:t>
      </w:r>
    </w:p>
    <w:p w14:paraId="567E856F" w14:textId="2FBD7627" w:rsidR="002911D3" w:rsidRPr="00785CCB" w:rsidRDefault="002911D3" w:rsidP="1A873E45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</w:pPr>
      <w:r>
        <w:rPr>
          <w:rFonts w:asciiTheme="minorHAnsi" w:eastAsiaTheme="minorEastAsia" w:hAnsiTheme="minorHAnsi" w:cstheme="minorBidi"/>
          <w:noProof/>
          <w:sz w:val="22"/>
          <w:szCs w:val="22"/>
          <w:lang w:val="en-GB" w:eastAsia="en-US"/>
        </w:rPr>
        <w:t>Security risks</w:t>
      </w:r>
      <w:r w:rsidR="003A77B3">
        <w:rPr>
          <w:rFonts w:asciiTheme="minorHAnsi" w:eastAsiaTheme="minorEastAsia" w:hAnsiTheme="minorHAnsi" w:cstheme="minorBidi"/>
          <w:noProof/>
          <w:sz w:val="22"/>
          <w:szCs w:val="22"/>
          <w:lang w:val="en-GB" w:eastAsia="en-US"/>
        </w:rPr>
        <w:t xml:space="preserve"> </w:t>
      </w:r>
      <w:r w:rsidR="00AE0B5F">
        <w:rPr>
          <w:rFonts w:asciiTheme="minorHAnsi" w:eastAsiaTheme="minorEastAsia" w:hAnsiTheme="minorHAnsi" w:cstheme="minorBidi"/>
          <w:noProof/>
          <w:sz w:val="22"/>
          <w:szCs w:val="22"/>
          <w:lang w:val="en-GB" w:eastAsia="en-US"/>
        </w:rPr>
        <w:t>identified as above the risk tolerance level must have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GB" w:eastAsia="en-US"/>
        </w:rPr>
        <w:t xml:space="preserve"> </w:t>
      </w:r>
      <w:r w:rsidR="003A77B3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appropriate measures taken to address the </w:t>
      </w:r>
      <w:r w:rsidR="00AE0B5F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risk</w:t>
      </w:r>
      <w:r w:rsidR="003A77B3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, such as </w:t>
      </w:r>
      <w:r w:rsidR="00F9640D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implementing a fix to eliminate the </w:t>
      </w:r>
      <w:r w:rsidR="00E40FB9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security weakness</w:t>
      </w:r>
      <w:r w:rsidR="003A77B3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,</w:t>
      </w:r>
      <w:r w:rsidR="003A77B3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applying mitigating controls</w:t>
      </w:r>
      <w:r w:rsidR="00F9640D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to reduce the</w:t>
      </w:r>
      <w:r w:rsidR="007362AE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likelihood or impact of the</w:t>
      </w:r>
      <w:r w:rsidR="00F9640D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risk</w:t>
      </w:r>
      <w:r w:rsidR="003A77B3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, formally accepting the risk</w:t>
      </w:r>
      <w:r w:rsidR="005D2F1E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, or formally transferring the risk (i.e. through insurance)</w:t>
      </w:r>
      <w:r w:rsidR="003A77B3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.</w:t>
      </w:r>
    </w:p>
    <w:p w14:paraId="68B7741B" w14:textId="77777777" w:rsidR="003345D0" w:rsidRPr="007362AE" w:rsidRDefault="003345D0" w:rsidP="003345D0">
      <w:pPr>
        <w:pStyle w:val="Heading2"/>
        <w:jc w:val="left"/>
        <w:rPr>
          <w:rFonts w:asciiTheme="minorHAnsi" w:hAnsiTheme="minorHAnsi"/>
          <w:sz w:val="28"/>
          <w:szCs w:val="28"/>
          <w:lang w:val="en-GB"/>
        </w:rPr>
      </w:pPr>
      <w:r w:rsidRPr="007362AE">
        <w:rPr>
          <w:rFonts w:asciiTheme="minorHAnsi" w:hAnsiTheme="minorHAnsi"/>
          <w:sz w:val="28"/>
          <w:szCs w:val="28"/>
          <w:u w:val="none"/>
        </w:rPr>
        <w:t>Guidance</w:t>
      </w:r>
    </w:p>
    <w:p w14:paraId="60EE1AA8" w14:textId="77777777" w:rsidR="003345D0" w:rsidRPr="00AD7867" w:rsidRDefault="003345D0" w:rsidP="003345D0">
      <w:pPr>
        <w:rPr>
          <w:lang w:val="en-GB"/>
        </w:rPr>
      </w:pPr>
    </w:p>
    <w:tbl>
      <w:tblPr>
        <w:tblStyle w:val="GridTable4"/>
        <w:tblW w:w="5000" w:type="pct"/>
        <w:tblLook w:val="0620" w:firstRow="1" w:lastRow="0" w:firstColumn="0" w:lastColumn="0" w:noHBand="1" w:noVBand="1"/>
      </w:tblPr>
      <w:tblGrid>
        <w:gridCol w:w="3706"/>
        <w:gridCol w:w="7324"/>
      </w:tblGrid>
      <w:tr w:rsidR="003345D0" w:rsidRPr="00AD7867" w14:paraId="5ADA39DE" w14:textId="77777777" w:rsidTr="001B0E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80" w:type="pct"/>
          </w:tcPr>
          <w:p w14:paraId="2981799F" w14:textId="77777777" w:rsidR="003345D0" w:rsidRPr="001B0EF3" w:rsidRDefault="003345D0" w:rsidP="001B0EF3">
            <w:pPr>
              <w:pStyle w:val="Body"/>
              <w:rPr>
                <w:b w:val="0"/>
                <w:color w:val="FFFFFF" w:themeColor="background1"/>
                <w:sz w:val="24"/>
                <w:szCs w:val="28"/>
                <w:lang w:val="en-GB"/>
              </w:rPr>
            </w:pPr>
            <w:r w:rsidRPr="001B0EF3">
              <w:rPr>
                <w:color w:val="FFFFFF" w:themeColor="background1"/>
                <w:sz w:val="24"/>
                <w:szCs w:val="28"/>
                <w:lang w:val="en-GB"/>
              </w:rPr>
              <w:t>Guidance</w:t>
            </w:r>
          </w:p>
        </w:tc>
        <w:tc>
          <w:tcPr>
            <w:tcW w:w="3320" w:type="pct"/>
          </w:tcPr>
          <w:p w14:paraId="67239363" w14:textId="77777777" w:rsidR="003345D0" w:rsidRPr="001B0EF3" w:rsidRDefault="003345D0" w:rsidP="001B0EF3">
            <w:pPr>
              <w:pStyle w:val="Body"/>
              <w:rPr>
                <w:b w:val="0"/>
                <w:color w:val="FFFFFF" w:themeColor="background1"/>
                <w:sz w:val="24"/>
                <w:szCs w:val="28"/>
                <w:lang w:val="en-GB"/>
              </w:rPr>
            </w:pPr>
            <w:r w:rsidRPr="001B0EF3">
              <w:rPr>
                <w:color w:val="FFFFFF" w:themeColor="background1"/>
                <w:sz w:val="24"/>
                <w:szCs w:val="28"/>
                <w:lang w:val="en-GB"/>
              </w:rPr>
              <w:t>Section</w:t>
            </w:r>
          </w:p>
        </w:tc>
      </w:tr>
      <w:tr w:rsidR="00EC615E" w:rsidRPr="00AD7867" w14:paraId="2E9DF5B0" w14:textId="77777777" w:rsidTr="001B0EF3">
        <w:tc>
          <w:tcPr>
            <w:tcW w:w="1680" w:type="pct"/>
          </w:tcPr>
          <w:p w14:paraId="671CC9A3" w14:textId="130FEA3D" w:rsidR="00EC615E" w:rsidRPr="00E00BC3" w:rsidRDefault="005F7749" w:rsidP="001B0EF3">
            <w:pPr>
              <w:pStyle w:val="Body"/>
              <w:rPr>
                <w:lang w:val="en-GB"/>
              </w:rPr>
            </w:pPr>
            <w:r w:rsidRPr="00E00BC3">
              <w:rPr>
                <w:lang w:val="en-GB"/>
              </w:rPr>
              <w:t>ISO</w:t>
            </w:r>
            <w:r w:rsidR="001B0EF3">
              <w:rPr>
                <w:lang w:val="en-GB"/>
              </w:rPr>
              <w:t xml:space="preserve"> </w:t>
            </w:r>
            <w:r w:rsidRPr="00E00BC3">
              <w:rPr>
                <w:lang w:val="en-GB"/>
              </w:rPr>
              <w:t>27001:2013</w:t>
            </w:r>
          </w:p>
        </w:tc>
        <w:tc>
          <w:tcPr>
            <w:tcW w:w="3320" w:type="pct"/>
          </w:tcPr>
          <w:p w14:paraId="567055F1" w14:textId="26B2EA15" w:rsidR="00EC615E" w:rsidRPr="00E00BC3" w:rsidRDefault="005F7749" w:rsidP="001B0EF3">
            <w:pPr>
              <w:pStyle w:val="Body"/>
              <w:rPr>
                <w:lang w:val="en-GB"/>
              </w:rPr>
            </w:pPr>
            <w:r w:rsidRPr="00E00BC3">
              <w:rPr>
                <w:lang w:val="en-GB"/>
              </w:rPr>
              <w:t>Clause 6</w:t>
            </w:r>
            <w:r w:rsidR="00C931B7" w:rsidRPr="00E00BC3">
              <w:rPr>
                <w:lang w:val="en-GB"/>
              </w:rPr>
              <w:t>.1</w:t>
            </w:r>
            <w:r w:rsidR="00E00BC3" w:rsidRPr="00E00BC3">
              <w:rPr>
                <w:lang w:val="en-GB"/>
              </w:rPr>
              <w:t xml:space="preserve"> Actions to address risks and opportunities</w:t>
            </w:r>
          </w:p>
        </w:tc>
      </w:tr>
      <w:tr w:rsidR="00EC615E" w:rsidRPr="00AD7867" w14:paraId="7C8EE9FF" w14:textId="77777777" w:rsidTr="001B0EF3">
        <w:tc>
          <w:tcPr>
            <w:tcW w:w="1680" w:type="pct"/>
          </w:tcPr>
          <w:p w14:paraId="244B14D6" w14:textId="370C97A4" w:rsidR="00EC615E" w:rsidRPr="00536DE8" w:rsidRDefault="008129ED" w:rsidP="001B0EF3">
            <w:pPr>
              <w:pStyle w:val="Body"/>
              <w:rPr>
                <w:lang w:val="en-GB"/>
              </w:rPr>
            </w:pPr>
            <w:r w:rsidRPr="00AD7867">
              <w:rPr>
                <w:lang w:val="en-GB"/>
              </w:rPr>
              <w:t>NIST SP 800-30</w:t>
            </w:r>
          </w:p>
        </w:tc>
        <w:tc>
          <w:tcPr>
            <w:tcW w:w="3320" w:type="pct"/>
          </w:tcPr>
          <w:p w14:paraId="6F6B259D" w14:textId="133BC5C9" w:rsidR="00EC615E" w:rsidRPr="00AD7867" w:rsidRDefault="008129ED" w:rsidP="001B0EF3">
            <w:pPr>
              <w:pStyle w:val="Body"/>
              <w:rPr>
                <w:lang w:val="en-GB"/>
              </w:rPr>
            </w:pPr>
            <w:r w:rsidRPr="00AD7867">
              <w:rPr>
                <w:lang w:val="en-GB"/>
              </w:rPr>
              <w:t>Risk Assessment (3.1 – 3.9), Mitigation (4.1 – 4.6)</w:t>
            </w:r>
          </w:p>
        </w:tc>
      </w:tr>
      <w:tr w:rsidR="005F7749" w:rsidRPr="00AD7867" w14:paraId="01E8E2B2" w14:textId="77777777" w:rsidTr="001B0EF3">
        <w:tc>
          <w:tcPr>
            <w:tcW w:w="1680" w:type="pct"/>
          </w:tcPr>
          <w:p w14:paraId="4F3A4FDD" w14:textId="394E1967" w:rsidR="005F7749" w:rsidRPr="00AD7867" w:rsidRDefault="005F7749" w:rsidP="001B0EF3">
            <w:pPr>
              <w:pStyle w:val="Body"/>
              <w:rPr>
                <w:lang w:val="en-GB"/>
              </w:rPr>
            </w:pPr>
            <w:r w:rsidRPr="00AD7867">
              <w:rPr>
                <w:lang w:val="en-GB"/>
              </w:rPr>
              <w:t>NIST SP 800-53 v</w:t>
            </w:r>
            <w:r>
              <w:rPr>
                <w:lang w:val="en-GB"/>
              </w:rPr>
              <w:t>5</w:t>
            </w:r>
          </w:p>
        </w:tc>
        <w:tc>
          <w:tcPr>
            <w:tcW w:w="3320" w:type="pct"/>
          </w:tcPr>
          <w:p w14:paraId="0B16B9F7" w14:textId="712DB356" w:rsidR="005F7749" w:rsidRPr="00AD7867" w:rsidRDefault="005F7749" w:rsidP="001B0EF3">
            <w:pPr>
              <w:pStyle w:val="Body"/>
              <w:rPr>
                <w:lang w:val="en-GB"/>
              </w:rPr>
            </w:pPr>
            <w:r w:rsidRPr="00AD7867">
              <w:rPr>
                <w:lang w:val="en-GB"/>
              </w:rPr>
              <w:t>PM-9, RA-3</w:t>
            </w:r>
            <w:r>
              <w:rPr>
                <w:lang w:val="en-GB"/>
              </w:rPr>
              <w:t>, RA-7</w:t>
            </w:r>
          </w:p>
        </w:tc>
      </w:tr>
    </w:tbl>
    <w:p w14:paraId="3121AD57" w14:textId="77777777" w:rsidR="003345D0" w:rsidRPr="00AD7867" w:rsidRDefault="003345D0" w:rsidP="003345D0"/>
    <w:p w14:paraId="7403BCD1" w14:textId="77777777" w:rsidR="003345D0" w:rsidRPr="007362AE" w:rsidRDefault="003345D0" w:rsidP="003345D0">
      <w:pPr>
        <w:widowControl/>
        <w:spacing w:after="160" w:line="259" w:lineRule="auto"/>
        <w:jc w:val="center"/>
        <w:rPr>
          <w:b/>
          <w:bCs/>
          <w:sz w:val="28"/>
          <w:szCs w:val="28"/>
          <w:lang w:val="fr-CA"/>
        </w:rPr>
      </w:pPr>
      <w:r w:rsidRPr="007362AE">
        <w:rPr>
          <w:b/>
          <w:bCs/>
          <w:sz w:val="28"/>
          <w:szCs w:val="28"/>
          <w:lang w:val="fr-CA"/>
        </w:rPr>
        <w:t>DOCUMENT VERSION CONTROL</w:t>
      </w:r>
    </w:p>
    <w:p w14:paraId="4E6F9270" w14:textId="77777777" w:rsidR="003345D0" w:rsidRPr="00AD7867" w:rsidRDefault="003345D0" w:rsidP="003345D0">
      <w:pPr>
        <w:pStyle w:val="NoSpacing"/>
        <w:rPr>
          <w:sz w:val="22"/>
          <w:szCs w:val="22"/>
        </w:rPr>
      </w:pPr>
    </w:p>
    <w:tbl>
      <w:tblPr>
        <w:tblStyle w:val="InfowayTable"/>
        <w:tblW w:w="11052" w:type="dxa"/>
        <w:tblLook w:val="04A0" w:firstRow="1" w:lastRow="0" w:firstColumn="1" w:lastColumn="0" w:noHBand="0" w:noVBand="1"/>
      </w:tblPr>
      <w:tblGrid>
        <w:gridCol w:w="4815"/>
        <w:gridCol w:w="6237"/>
      </w:tblGrid>
      <w:tr w:rsidR="002F574C" w:rsidRPr="00245156" w14:paraId="4D1F2FF3" w14:textId="77777777" w:rsidTr="000775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052" w:type="dxa"/>
            <w:gridSpan w:val="2"/>
          </w:tcPr>
          <w:p w14:paraId="4E3E7519" w14:textId="0D49FE2A" w:rsidR="002F574C" w:rsidRPr="00245156" w:rsidRDefault="00511FDE" w:rsidP="000775FB">
            <w:pPr>
              <w:pStyle w:val="Body"/>
              <w:rPr>
                <w:color w:val="FFFFFF" w:themeColor="background1"/>
                <w:lang w:val="en-CA"/>
              </w:rPr>
            </w:pPr>
            <w:bookmarkStart w:id="0" w:name="_Hlk73219612"/>
            <w:r w:rsidRPr="00511FDE">
              <w:rPr>
                <w:color w:val="FFFFFF" w:themeColor="background1"/>
                <w:lang w:val="en-CA"/>
              </w:rPr>
              <w:t>Security Risk Management – Supporting Security Policy</w:t>
            </w:r>
          </w:p>
        </w:tc>
      </w:tr>
      <w:tr w:rsidR="002F574C" w:rsidRPr="00245156" w14:paraId="5B3138D2" w14:textId="77777777" w:rsidTr="000775FB">
        <w:tc>
          <w:tcPr>
            <w:tcW w:w="4815" w:type="dxa"/>
          </w:tcPr>
          <w:p w14:paraId="407F5E62" w14:textId="77777777" w:rsidR="002F574C" w:rsidRPr="00245156" w:rsidRDefault="002F574C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Document Owner</w:t>
            </w:r>
          </w:p>
        </w:tc>
        <w:tc>
          <w:tcPr>
            <w:tcW w:w="6237" w:type="dxa"/>
          </w:tcPr>
          <w:p w14:paraId="7154BF06" w14:textId="77777777" w:rsidR="002F574C" w:rsidRPr="00F57CB3" w:rsidRDefault="002F574C" w:rsidP="000775FB">
            <w:pPr>
              <w:pStyle w:val="Body"/>
              <w:rPr>
                <w:lang w:val="en-CA"/>
              </w:rPr>
            </w:pPr>
            <w:commentRangeStart w:id="1"/>
            <w:r w:rsidRPr="00F57CB3">
              <w:rPr>
                <w:highlight w:val="yellow"/>
                <w:lang w:val="en-CA"/>
              </w:rPr>
              <w:t xml:space="preserve">&lt;e.g. </w:t>
            </w:r>
            <w:r>
              <w:rPr>
                <w:highlight w:val="yellow"/>
                <w:lang w:val="en-CA"/>
              </w:rPr>
              <w:t>Information Security Manager</w:t>
            </w:r>
            <w:r w:rsidRPr="00F57CB3">
              <w:rPr>
                <w:highlight w:val="yellow"/>
                <w:lang w:val="en-CA"/>
              </w:rPr>
              <w:t>&gt;</w:t>
            </w:r>
            <w:commentRangeEnd w:id="1"/>
            <w:r>
              <w:rPr>
                <w:rStyle w:val="CommentReference"/>
                <w:rFonts w:eastAsiaTheme="minorHAnsi"/>
                <w:color w:val="auto"/>
                <w:spacing w:val="0"/>
              </w:rPr>
              <w:commentReference w:id="1"/>
            </w:r>
          </w:p>
        </w:tc>
      </w:tr>
      <w:tr w:rsidR="002F574C" w:rsidRPr="00245156" w14:paraId="36E9D17C" w14:textId="77777777" w:rsidTr="000775FB">
        <w:tc>
          <w:tcPr>
            <w:tcW w:w="4815" w:type="dxa"/>
          </w:tcPr>
          <w:p w14:paraId="0A5DC302" w14:textId="77777777" w:rsidR="002F574C" w:rsidRPr="00245156" w:rsidRDefault="002F574C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Approving Authority</w:t>
            </w:r>
          </w:p>
        </w:tc>
        <w:tc>
          <w:tcPr>
            <w:tcW w:w="6237" w:type="dxa"/>
          </w:tcPr>
          <w:p w14:paraId="4A0EDAB9" w14:textId="77777777" w:rsidR="002F574C" w:rsidRPr="00245156" w:rsidRDefault="002F574C" w:rsidP="000775FB">
            <w:pPr>
              <w:pStyle w:val="Body"/>
              <w:rPr>
                <w:lang w:val="en-CA"/>
              </w:rPr>
            </w:pPr>
            <w:commentRangeStart w:id="2"/>
            <w:r w:rsidRPr="00F57CB3">
              <w:rPr>
                <w:highlight w:val="yellow"/>
                <w:lang w:val="en-CA"/>
              </w:rPr>
              <w:t xml:space="preserve">&lt;e.g. </w:t>
            </w:r>
            <w:r>
              <w:rPr>
                <w:highlight w:val="yellow"/>
                <w:lang w:val="en-CA"/>
              </w:rPr>
              <w:t>Chief Information Security Officer</w:t>
            </w:r>
            <w:r w:rsidRPr="00F57CB3">
              <w:rPr>
                <w:highlight w:val="yellow"/>
                <w:lang w:val="en-CA"/>
              </w:rPr>
              <w:t>&gt;</w:t>
            </w:r>
            <w:commentRangeEnd w:id="2"/>
            <w:r>
              <w:rPr>
                <w:rStyle w:val="CommentReference"/>
                <w:rFonts w:eastAsiaTheme="minorHAnsi"/>
                <w:color w:val="auto"/>
                <w:spacing w:val="0"/>
              </w:rPr>
              <w:commentReference w:id="2"/>
            </w:r>
          </w:p>
        </w:tc>
      </w:tr>
      <w:tr w:rsidR="002F574C" w:rsidRPr="00245156" w14:paraId="270F767F" w14:textId="77777777" w:rsidTr="000775FB">
        <w:tc>
          <w:tcPr>
            <w:tcW w:w="4815" w:type="dxa"/>
          </w:tcPr>
          <w:p w14:paraId="43165990" w14:textId="77777777" w:rsidR="002F574C" w:rsidRPr="00245156" w:rsidRDefault="002F574C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Revision Cycle</w:t>
            </w:r>
          </w:p>
        </w:tc>
        <w:tc>
          <w:tcPr>
            <w:tcW w:w="6237" w:type="dxa"/>
          </w:tcPr>
          <w:p w14:paraId="4B76C925" w14:textId="77777777" w:rsidR="002F574C" w:rsidRPr="00245156" w:rsidRDefault="002F574C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Annual</w:t>
            </w:r>
          </w:p>
        </w:tc>
      </w:tr>
    </w:tbl>
    <w:p w14:paraId="1741A8C0" w14:textId="77777777" w:rsidR="002F574C" w:rsidRPr="00D274D1" w:rsidRDefault="002F574C" w:rsidP="002F574C">
      <w:pPr>
        <w:rPr>
          <w:lang w:val="en-CA"/>
        </w:rPr>
      </w:pPr>
    </w:p>
    <w:tbl>
      <w:tblPr>
        <w:tblStyle w:val="InfowayTable"/>
        <w:tblW w:w="1106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6379"/>
        <w:gridCol w:w="2835"/>
        <w:gridCol w:w="1848"/>
      </w:tblGrid>
      <w:tr w:rsidR="002F574C" w:rsidRPr="00245156" w14:paraId="76BAD368" w14:textId="77777777" w:rsidTr="000775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1"/>
        </w:trPr>
        <w:tc>
          <w:tcPr>
            <w:tcW w:w="6379" w:type="dxa"/>
          </w:tcPr>
          <w:p w14:paraId="4CF39395" w14:textId="77777777" w:rsidR="002F574C" w:rsidRPr="00D274D1" w:rsidRDefault="002F574C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Modification</w:t>
            </w:r>
          </w:p>
        </w:tc>
        <w:tc>
          <w:tcPr>
            <w:tcW w:w="2835" w:type="dxa"/>
          </w:tcPr>
          <w:p w14:paraId="3771A00F" w14:textId="77777777" w:rsidR="002F574C" w:rsidRPr="00D274D1" w:rsidRDefault="002F574C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Approver</w:t>
            </w:r>
          </w:p>
        </w:tc>
        <w:tc>
          <w:tcPr>
            <w:tcW w:w="1848" w:type="dxa"/>
          </w:tcPr>
          <w:p w14:paraId="1D162CA1" w14:textId="77777777" w:rsidR="002F574C" w:rsidRPr="00D274D1" w:rsidRDefault="002F574C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Date</w:t>
            </w:r>
          </w:p>
        </w:tc>
      </w:tr>
      <w:tr w:rsidR="002F574C" w:rsidRPr="00245156" w14:paraId="0BCE0B33" w14:textId="77777777" w:rsidTr="000775FB">
        <w:trPr>
          <w:trHeight w:val="20"/>
        </w:trPr>
        <w:tc>
          <w:tcPr>
            <w:tcW w:w="6379" w:type="dxa"/>
          </w:tcPr>
          <w:p w14:paraId="784D4273" w14:textId="77777777" w:rsidR="002F574C" w:rsidRPr="00D274D1" w:rsidRDefault="002F574C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2835" w:type="dxa"/>
          </w:tcPr>
          <w:p w14:paraId="46FB37C7" w14:textId="77777777" w:rsidR="002F574C" w:rsidRPr="00D274D1" w:rsidRDefault="002F574C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1848" w:type="dxa"/>
          </w:tcPr>
          <w:p w14:paraId="2E97ACD4" w14:textId="77777777" w:rsidR="002F574C" w:rsidRPr="00D274D1" w:rsidDel="00F1192D" w:rsidRDefault="002F574C" w:rsidP="000775FB">
            <w:pPr>
              <w:pStyle w:val="TableData"/>
              <w:rPr>
                <w:lang w:val="en-CA"/>
              </w:rPr>
            </w:pPr>
          </w:p>
        </w:tc>
      </w:tr>
      <w:tr w:rsidR="002F574C" w:rsidRPr="00245156" w14:paraId="17F68460" w14:textId="77777777" w:rsidTr="000775FB">
        <w:trPr>
          <w:trHeight w:val="20"/>
        </w:trPr>
        <w:tc>
          <w:tcPr>
            <w:tcW w:w="6379" w:type="dxa"/>
          </w:tcPr>
          <w:p w14:paraId="7A905042" w14:textId="77777777" w:rsidR="002F574C" w:rsidRPr="00D274D1" w:rsidRDefault="002F574C" w:rsidP="000775FB">
            <w:pPr>
              <w:rPr>
                <w:rFonts w:eastAsia="Calibri" w:cs="Calibri"/>
                <w:lang w:val="en-CA"/>
              </w:rPr>
            </w:pPr>
          </w:p>
        </w:tc>
        <w:tc>
          <w:tcPr>
            <w:tcW w:w="2835" w:type="dxa"/>
          </w:tcPr>
          <w:p w14:paraId="0D63DEAE" w14:textId="77777777" w:rsidR="002F574C" w:rsidRPr="00D274D1" w:rsidRDefault="002F574C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1848" w:type="dxa"/>
          </w:tcPr>
          <w:p w14:paraId="4B625F80" w14:textId="77777777" w:rsidR="002F574C" w:rsidRPr="00D274D1" w:rsidRDefault="002F574C" w:rsidP="000775FB">
            <w:pPr>
              <w:pStyle w:val="TableData"/>
              <w:rPr>
                <w:lang w:val="en-CA"/>
              </w:rPr>
            </w:pPr>
          </w:p>
        </w:tc>
      </w:tr>
      <w:bookmarkEnd w:id="0"/>
    </w:tbl>
    <w:p w14:paraId="6741064D" w14:textId="77777777" w:rsidR="002F574C" w:rsidRPr="002F7046" w:rsidRDefault="002F574C" w:rsidP="002F574C">
      <w:pPr>
        <w:pStyle w:val="NoSpacing"/>
        <w:rPr>
          <w:sz w:val="22"/>
          <w:szCs w:val="22"/>
        </w:rPr>
      </w:pPr>
    </w:p>
    <w:p w14:paraId="449BB75A" w14:textId="77777777" w:rsidR="002F574C" w:rsidRDefault="002F574C" w:rsidP="002F574C"/>
    <w:p w14:paraId="510CC99F" w14:textId="77777777" w:rsidR="003345D0" w:rsidRPr="00AD7867" w:rsidRDefault="003345D0" w:rsidP="003345D0"/>
    <w:p w14:paraId="729FC674" w14:textId="77777777" w:rsidR="002C76C8" w:rsidRPr="00AD7867" w:rsidRDefault="001B30C2"/>
    <w:sectPr w:rsidR="002C76C8" w:rsidRPr="00AD7867" w:rsidSect="00E831D8">
      <w:headerReference w:type="even" r:id="rId14"/>
      <w:headerReference w:type="default" r:id="rId15"/>
      <w:footerReference w:type="default" r:id="rId16"/>
      <w:headerReference w:type="first" r:id="rId17"/>
      <w:pgSz w:w="12600" w:h="16200"/>
      <w:pgMar w:top="820" w:right="780" w:bottom="1280" w:left="780" w:header="1247" w:footer="1474" w:gutter="0"/>
      <w:pgNumType w:start="1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Laura Payne" w:date="2021-06-21T09:36:00Z" w:initials="LP">
    <w:p w14:paraId="24D5C972" w14:textId="77777777" w:rsidR="002F574C" w:rsidRDefault="002F574C" w:rsidP="002F574C">
      <w:pPr>
        <w:pStyle w:val="CommentText"/>
      </w:pPr>
      <w:r>
        <w:rPr>
          <w:rStyle w:val="CommentReference"/>
        </w:rPr>
        <w:annotationRef/>
      </w:r>
      <w:r>
        <w:t>Template Note: Replace with the name and role appropriate to your organization.</w:t>
      </w:r>
    </w:p>
  </w:comment>
  <w:comment w:id="2" w:author="Laura Payne" w:date="2021-06-21T09:37:00Z" w:initials="LP">
    <w:p w14:paraId="389DD469" w14:textId="77777777" w:rsidR="002F574C" w:rsidRDefault="002F574C" w:rsidP="002F574C">
      <w:pPr>
        <w:pStyle w:val="CommentText"/>
      </w:pPr>
      <w:r>
        <w:rPr>
          <w:rStyle w:val="CommentReference"/>
        </w:rPr>
        <w:annotationRef/>
      </w:r>
      <w:r>
        <w:t>Template Note: Replace with the name and role appropriate to your organization.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4D5C972" w15:done="0"/>
  <w15:commentEx w15:paraId="389DD46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7ADC37" w16cex:dateUtc="2021-06-21T13:36:00Z"/>
  <w16cex:commentExtensible w16cex:durableId="247ADC6B" w16cex:dateUtc="2021-06-21T13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4D5C972" w16cid:durableId="247ADC37"/>
  <w16cid:commentId w16cid:paraId="389DD469" w16cid:durableId="247ADC6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09C5BB" w14:textId="77777777" w:rsidR="001B30C2" w:rsidRDefault="001B30C2" w:rsidP="003345D0">
      <w:r>
        <w:separator/>
      </w:r>
    </w:p>
  </w:endnote>
  <w:endnote w:type="continuationSeparator" w:id="0">
    <w:p w14:paraId="12BBB34C" w14:textId="77777777" w:rsidR="001B30C2" w:rsidRDefault="001B30C2" w:rsidP="00334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490000" w:usb3="0070006D" w:csb0="00630061" w:csb1="00000074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5B178B" w14:textId="77777777" w:rsidR="00F76DA3" w:rsidRPr="00846888" w:rsidRDefault="00F76DA3" w:rsidP="00846888">
    <w:pPr>
      <w:pStyle w:val="FooterReportPortraitwithTOC"/>
    </w:pPr>
    <w:r>
      <w:rPr>
        <w:rFonts w:ascii="Calibri" w:hAnsi="Calibri"/>
      </w:rPr>
      <w:t>©2021 Canada Health Infoway - DRAFT for Review</w:t>
    </w:r>
    <w:r>
      <w:tab/>
      <w:t xml:space="preserve"> </w:t>
    </w:r>
    <w:r>
      <w:rPr>
        <w:noProof w:val="0"/>
      </w:rPr>
      <w:fldChar w:fldCharType="begin"/>
    </w:r>
    <w:r>
      <w:rPr>
        <w:noProof w:val="0"/>
      </w:rPr>
      <w:instrText xml:space="preserve"> PAGE  \* Arabic  \* MERGEFORMAT </w:instrText>
    </w:r>
    <w:r>
      <w:rPr>
        <w:noProof w:val="0"/>
      </w:rPr>
      <w:fldChar w:fldCharType="separate"/>
    </w:r>
    <w:r>
      <w:t>1</w:t>
    </w:r>
    <w:r>
      <w:rPr>
        <w:noProof w:val="0"/>
      </w:rPr>
      <w:fldChar w:fldCharType="end"/>
    </w:r>
  </w:p>
  <w:p w14:paraId="2D35170D" w14:textId="57E2BC35" w:rsidR="00841105" w:rsidRDefault="001B30C2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44BA64" w14:textId="77777777" w:rsidR="001B30C2" w:rsidRDefault="001B30C2" w:rsidP="003345D0">
      <w:r>
        <w:separator/>
      </w:r>
    </w:p>
  </w:footnote>
  <w:footnote w:type="continuationSeparator" w:id="0">
    <w:p w14:paraId="69FA19C6" w14:textId="77777777" w:rsidR="001B30C2" w:rsidRDefault="001B30C2" w:rsidP="003345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A43B23" w14:textId="091536C0" w:rsidR="00E6610D" w:rsidRDefault="001B30C2">
    <w:pPr>
      <w:pStyle w:val="Header"/>
    </w:pPr>
    <w:r>
      <w:rPr>
        <w:noProof/>
      </w:rPr>
      <w:pict w14:anchorId="1B72403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15850751" o:spid="_x0000_s2050" type="#_x0000_t136" style="position:absolute;margin-left:0;margin-top:0;width:486.45pt;height:291.8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AF865B" w14:textId="50805FAC" w:rsidR="00B879F5" w:rsidRPr="00A86D19" w:rsidRDefault="001B30C2" w:rsidP="005122E1">
    <w:pPr>
      <w:pStyle w:val="Title1"/>
      <w:tabs>
        <w:tab w:val="right" w:pos="11040"/>
      </w:tabs>
      <w:rPr>
        <w:b/>
        <w:bCs/>
        <w:noProof/>
        <w:sz w:val="20"/>
        <w:szCs w:val="21"/>
        <w:lang w:val="en-GB" w:eastAsia="en-CA"/>
      </w:rPr>
    </w:pPr>
    <w:r>
      <w:rPr>
        <w:noProof/>
      </w:rPr>
      <w:pict w14:anchorId="44E9983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15850752" o:spid="_x0000_s2051" type="#_x0000_t136" style="position:absolute;margin-left:0;margin-top:0;width:486.45pt;height:291.8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  <w:r w:rsidR="00AD7867" w:rsidRPr="008B2FF1">
      <w:rPr>
        <w:b/>
        <w:bCs/>
        <w:noProof/>
        <w:sz w:val="28"/>
        <w:szCs w:val="21"/>
        <w:lang w:val="en-GB" w:eastAsia="en-CA"/>
      </w:rPr>
      <w:t xml:space="preserve"> </w:t>
    </w:r>
    <w:r w:rsidR="00E8636C">
      <w:rPr>
        <w:b/>
        <w:bCs/>
        <w:noProof/>
        <w:sz w:val="28"/>
        <w:szCs w:val="21"/>
        <w:lang w:val="en-GB" w:eastAsia="en-CA"/>
      </w:rPr>
      <w:t>Security Risk Management</w:t>
    </w:r>
    <w:r w:rsidR="00E8636C" w:rsidRPr="008B2FF1">
      <w:rPr>
        <w:b/>
        <w:bCs/>
        <w:noProof/>
        <w:sz w:val="28"/>
        <w:szCs w:val="21"/>
        <w:lang w:val="en-GB" w:eastAsia="en-CA"/>
      </w:rPr>
      <w:t xml:space="preserve"> – Supporting Security Policy</w:t>
    </w:r>
    <w:r w:rsidR="00E8636C">
      <w:rPr>
        <w:color w:val="57585B"/>
        <w:sz w:val="52"/>
      </w:rPr>
      <w:tab/>
    </w:r>
    <w:r w:rsidR="005122E1" w:rsidRPr="002F574C">
      <w:rPr>
        <w:color w:val="57585B"/>
        <w:sz w:val="36"/>
        <w:szCs w:val="40"/>
        <w:highlight w:val="yellow"/>
      </w:rPr>
      <w:t>&lt;ORG_LOGO&gt;</w:t>
    </w:r>
  </w:p>
  <w:p w14:paraId="5BC20941" w14:textId="77777777" w:rsidR="00B879F5" w:rsidRDefault="001B30C2" w:rsidP="00B879F5">
    <w:pPr>
      <w:spacing w:line="20" w:lineRule="atLeast"/>
      <w:ind w:left="110"/>
      <w:rPr>
        <w:rFonts w:ascii="Calibri" w:eastAsia="Calibri" w:hAnsi="Calibri" w:cs="Calibri"/>
        <w:sz w:val="2"/>
        <w:szCs w:val="2"/>
      </w:rPr>
    </w:pPr>
  </w:p>
  <w:p w14:paraId="3DE9E54B" w14:textId="77777777" w:rsidR="00841105" w:rsidRPr="00B879F5" w:rsidRDefault="00AD7867" w:rsidP="008B2FF1">
    <w:r>
      <w:rPr>
        <w:rFonts w:ascii="Calibri" w:eastAsia="Calibri" w:hAnsi="Calibri" w:cs="Calibri"/>
        <w:noProof/>
        <w:sz w:val="2"/>
        <w:szCs w:val="2"/>
        <w:lang w:val="en-CA" w:eastAsia="en-CA"/>
      </w:rPr>
      <mc:AlternateContent>
        <mc:Choice Requires="wpg">
          <w:drawing>
            <wp:inline distT="0" distB="0" distL="0" distR="0" wp14:anchorId="0060C3DA" wp14:editId="1B4635AC">
              <wp:extent cx="7013050" cy="71562"/>
              <wp:effectExtent l="0" t="0" r="16510" b="0"/>
              <wp:docPr id="15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13050" cy="71562"/>
                        <a:chOff x="0" y="0"/>
                        <a:chExt cx="10820" cy="20"/>
                      </a:xfrm>
                    </wpg:grpSpPr>
                    <wpg:grpSp>
                      <wpg:cNvPr id="16" name="Group 12"/>
                      <wpg:cNvGrpSpPr>
                        <a:grpSpLocks/>
                      </wpg:cNvGrpSpPr>
                      <wpg:grpSpPr bwMode="auto">
                        <a:xfrm>
                          <a:off x="10" y="10"/>
                          <a:ext cx="10800" cy="2"/>
                          <a:chOff x="10" y="10"/>
                          <a:chExt cx="10800" cy="2"/>
                        </a:xfrm>
                      </wpg:grpSpPr>
                      <wps:wsp>
                        <wps:cNvPr id="17" name="Freeform 13"/>
                        <wps:cNvSpPr>
                          <a:spLocks/>
                        </wps:cNvSpPr>
                        <wps:spPr bwMode="auto">
                          <a:xfrm>
                            <a:off x="10" y="10"/>
                            <a:ext cx="10800" cy="2"/>
                          </a:xfrm>
                          <a:custGeom>
                            <a:avLst/>
                            <a:gdLst>
                              <a:gd name="T0" fmla="+- 0 10 10"/>
                              <a:gd name="T1" fmla="*/ T0 w 10800"/>
                              <a:gd name="T2" fmla="+- 0 10810 10"/>
                              <a:gd name="T3" fmla="*/ T2 w 108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800">
                                <a:moveTo>
                                  <a:pt x="0" y="0"/>
                                </a:moveTo>
                                <a:lnTo>
                                  <a:pt x="1080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BDC3C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inline>
          </w:drawing>
        </mc:Choice>
        <mc:Fallback xmlns:a="http://schemas.openxmlformats.org/drawingml/2006/main" xmlns:a14="http://schemas.microsoft.com/office/drawing/2010/main" xmlns:w16sdtdh="http://schemas.microsoft.com/office/word/2020/wordml/sdtdatahash">
          <w:pict>
            <v:group id="Group 11" style="width:552.2pt;height:5.65pt;mso-position-horizontal-relative:char;mso-position-vertical-relative:line" coordsize="10820,20" o:spid="_x0000_s1026" w14:anchorId="2AC43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">
              <v:group id="Group 12" style="position:absolute;left:10;top:10;width:10800;height:2" coordsize="10800,2" coordorigin="10,10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<v:shape id="Freeform 13" style="position:absolute;left:10;top:10;width:10800;height:2;visibility:visible;mso-wrap-style:square;v-text-anchor:top" coordsize="10800,2" o:spid="_x0000_s1028" filled="f" strokecolor="#bdc3c6" strokeweight="1pt" path="m,l10800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">
                  <v:path arrowok="t" o:connecttype="custom" o:connectlocs="0,0;10800,0" o:connectangles="0,0"/>
                </v:shape>
              </v:group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A9F0D" w14:textId="33CB3B26" w:rsidR="00E6610D" w:rsidRDefault="001B30C2">
    <w:pPr>
      <w:pStyle w:val="Header"/>
    </w:pPr>
    <w:r>
      <w:rPr>
        <w:noProof/>
      </w:rPr>
      <w:pict w14:anchorId="2369FAE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15850750" o:spid="_x0000_s2049" type="#_x0000_t136" style="position:absolute;margin-left:0;margin-top:0;width:486.45pt;height:291.8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687058"/>
    <w:multiLevelType w:val="hybridMultilevel"/>
    <w:tmpl w:val="83500734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A6D2DD3"/>
    <w:multiLevelType w:val="hybridMultilevel"/>
    <w:tmpl w:val="518C03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260B00"/>
    <w:multiLevelType w:val="hybridMultilevel"/>
    <w:tmpl w:val="CD2827FE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aura Payne">
    <w15:presenceInfo w15:providerId="AD" w15:userId="S::laura.payne@isecurityconsulting.com::01fbed3e-5810-4511-a114-d0d8e389a2f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I2MjE0MrMwNTUzNDBR0lEKTi0uzszPAykwqwUAR+66qiwAAAA="/>
  </w:docVars>
  <w:rsids>
    <w:rsidRoot w:val="003345D0"/>
    <w:rsid w:val="0007169B"/>
    <w:rsid w:val="00121CD9"/>
    <w:rsid w:val="001300AA"/>
    <w:rsid w:val="0015680B"/>
    <w:rsid w:val="001B0EF3"/>
    <w:rsid w:val="001B30C2"/>
    <w:rsid w:val="001D3A0E"/>
    <w:rsid w:val="001D5947"/>
    <w:rsid w:val="001F2D28"/>
    <w:rsid w:val="002042E5"/>
    <w:rsid w:val="00243C7B"/>
    <w:rsid w:val="00283908"/>
    <w:rsid w:val="002911D3"/>
    <w:rsid w:val="002F574C"/>
    <w:rsid w:val="003345D0"/>
    <w:rsid w:val="00342115"/>
    <w:rsid w:val="003A77B3"/>
    <w:rsid w:val="003B56DF"/>
    <w:rsid w:val="003C2889"/>
    <w:rsid w:val="003F5AC4"/>
    <w:rsid w:val="00433788"/>
    <w:rsid w:val="00447B82"/>
    <w:rsid w:val="00477215"/>
    <w:rsid w:val="004877FE"/>
    <w:rsid w:val="004D3D97"/>
    <w:rsid w:val="00511FDE"/>
    <w:rsid w:val="005122E1"/>
    <w:rsid w:val="00535A57"/>
    <w:rsid w:val="00536DE8"/>
    <w:rsid w:val="005A6B3B"/>
    <w:rsid w:val="005D2F1E"/>
    <w:rsid w:val="005D69CF"/>
    <w:rsid w:val="005E5B55"/>
    <w:rsid w:val="005F7749"/>
    <w:rsid w:val="00606CE5"/>
    <w:rsid w:val="006B599F"/>
    <w:rsid w:val="00707E36"/>
    <w:rsid w:val="007362AE"/>
    <w:rsid w:val="0075671A"/>
    <w:rsid w:val="00785CCB"/>
    <w:rsid w:val="007C01D8"/>
    <w:rsid w:val="007E6206"/>
    <w:rsid w:val="008004BD"/>
    <w:rsid w:val="008129ED"/>
    <w:rsid w:val="008B2FF1"/>
    <w:rsid w:val="008C0898"/>
    <w:rsid w:val="008E2CAB"/>
    <w:rsid w:val="009628C1"/>
    <w:rsid w:val="00992DC9"/>
    <w:rsid w:val="009F55FD"/>
    <w:rsid w:val="00A144E9"/>
    <w:rsid w:val="00A214E8"/>
    <w:rsid w:val="00A3178D"/>
    <w:rsid w:val="00A64124"/>
    <w:rsid w:val="00A822D3"/>
    <w:rsid w:val="00AD7867"/>
    <w:rsid w:val="00AE0B5F"/>
    <w:rsid w:val="00C26DE2"/>
    <w:rsid w:val="00C45B01"/>
    <w:rsid w:val="00C931B7"/>
    <w:rsid w:val="00D0261D"/>
    <w:rsid w:val="00D31409"/>
    <w:rsid w:val="00DE5722"/>
    <w:rsid w:val="00E00BC3"/>
    <w:rsid w:val="00E40FB9"/>
    <w:rsid w:val="00E46B74"/>
    <w:rsid w:val="00E53868"/>
    <w:rsid w:val="00E5708D"/>
    <w:rsid w:val="00E60B05"/>
    <w:rsid w:val="00E6610D"/>
    <w:rsid w:val="00E831D8"/>
    <w:rsid w:val="00E8636C"/>
    <w:rsid w:val="00E96CE4"/>
    <w:rsid w:val="00EC615E"/>
    <w:rsid w:val="00EE3E58"/>
    <w:rsid w:val="00F261AB"/>
    <w:rsid w:val="00F4641A"/>
    <w:rsid w:val="00F76DA3"/>
    <w:rsid w:val="00F846F9"/>
    <w:rsid w:val="00F9640D"/>
    <w:rsid w:val="00FD76CB"/>
    <w:rsid w:val="1A87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9E55E09"/>
  <w15:chartTrackingRefBased/>
  <w15:docId w15:val="{B16F877C-EDE8-483C-B9F8-BC72135D0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rsid w:val="003345D0"/>
    <w:pPr>
      <w:widowControl w:val="0"/>
      <w:spacing w:after="0" w:line="240" w:lineRule="auto"/>
    </w:pPr>
    <w:rPr>
      <w:lang w:val="en-US"/>
    </w:rPr>
  </w:style>
  <w:style w:type="paragraph" w:styleId="Heading2">
    <w:name w:val="heading 2"/>
    <w:basedOn w:val="Normal"/>
    <w:next w:val="Normal"/>
    <w:link w:val="Heading2Char"/>
    <w:qFormat/>
    <w:rsid w:val="003345D0"/>
    <w:pPr>
      <w:keepNext/>
      <w:widowControl/>
      <w:spacing w:before="360"/>
      <w:jc w:val="both"/>
      <w:outlineLvl w:val="1"/>
    </w:pPr>
    <w:rPr>
      <w:rFonts w:ascii="Times New Roman Bold" w:eastAsia="Times New Roman" w:hAnsi="Times New Roman Bold" w:cs="Times New Roman"/>
      <w:b/>
      <w:sz w:val="24"/>
      <w:szCs w:val="24"/>
      <w:u w:val="single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345D0"/>
    <w:rPr>
      <w:rFonts w:ascii="Times New Roman Bold" w:eastAsia="Times New Roman" w:hAnsi="Times New Roman Bold" w:cs="Times New Roman"/>
      <w:b/>
      <w:sz w:val="24"/>
      <w:szCs w:val="24"/>
      <w:u w:val="single"/>
    </w:rPr>
  </w:style>
  <w:style w:type="paragraph" w:styleId="BodyText">
    <w:name w:val="Body Text"/>
    <w:basedOn w:val="Normal"/>
    <w:link w:val="BodyTextChar"/>
    <w:uiPriority w:val="1"/>
    <w:rsid w:val="003345D0"/>
    <w:pPr>
      <w:ind w:left="480"/>
    </w:pPr>
    <w:rPr>
      <w:rFonts w:ascii="Calibri" w:eastAsia="Calibri" w:hAnsi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3345D0"/>
    <w:rPr>
      <w:rFonts w:ascii="Calibri" w:eastAsia="Calibri" w:hAnsi="Calibri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345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45D0"/>
    <w:rPr>
      <w:lang w:val="en-US"/>
    </w:rPr>
  </w:style>
  <w:style w:type="paragraph" w:customStyle="1" w:styleId="Title1">
    <w:name w:val="Title1"/>
    <w:basedOn w:val="Normal"/>
    <w:link w:val="TITLEChar"/>
    <w:uiPriority w:val="1"/>
    <w:qFormat/>
    <w:rsid w:val="003345D0"/>
    <w:pPr>
      <w:spacing w:before="3"/>
    </w:pPr>
    <w:rPr>
      <w:rFonts w:ascii="Calibri" w:eastAsia="Calibri" w:hAnsi="Calibri" w:cs="Calibri"/>
      <w:color w:val="58595B"/>
      <w:spacing w:val="-2"/>
      <w:sz w:val="54"/>
      <w:szCs w:val="54"/>
    </w:rPr>
  </w:style>
  <w:style w:type="character" w:customStyle="1" w:styleId="TITLEChar">
    <w:name w:val="TITLE Char"/>
    <w:basedOn w:val="DefaultParagraphFont"/>
    <w:link w:val="Title1"/>
    <w:uiPriority w:val="1"/>
    <w:rsid w:val="003345D0"/>
    <w:rPr>
      <w:rFonts w:ascii="Calibri" w:eastAsia="Calibri" w:hAnsi="Calibri" w:cs="Calibri"/>
      <w:color w:val="58595B"/>
      <w:spacing w:val="-2"/>
      <w:sz w:val="54"/>
      <w:szCs w:val="54"/>
      <w:lang w:val="en-US"/>
    </w:rPr>
  </w:style>
  <w:style w:type="paragraph" w:styleId="NoSpacing">
    <w:name w:val="No Spacing"/>
    <w:uiPriority w:val="1"/>
    <w:qFormat/>
    <w:rsid w:val="003345D0"/>
    <w:pPr>
      <w:spacing w:after="0" w:line="240" w:lineRule="auto"/>
    </w:pPr>
    <w:rPr>
      <w:sz w:val="24"/>
      <w:szCs w:val="24"/>
    </w:rPr>
  </w:style>
  <w:style w:type="table" w:styleId="TableGrid">
    <w:name w:val="Table Grid"/>
    <w:basedOn w:val="TableNormal"/>
    <w:uiPriority w:val="39"/>
    <w:rsid w:val="003345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KPolicyThirdLevelContent">
    <w:name w:val="SoK Policy Third Level Content"/>
    <w:basedOn w:val="Normal"/>
    <w:rsid w:val="003345D0"/>
    <w:pPr>
      <w:widowControl/>
      <w:ind w:left="1440"/>
    </w:pPr>
    <w:rPr>
      <w:rFonts w:ascii="Calibri" w:eastAsia="Times New Roman" w:hAnsi="Calibri" w:cs="Times New Roman"/>
      <w:sz w:val="24"/>
      <w:szCs w:val="20"/>
      <w:lang w:eastAsia="en-CA"/>
    </w:rPr>
  </w:style>
  <w:style w:type="table" w:styleId="GridTable4-Accent1">
    <w:name w:val="Grid Table 4 Accent 1"/>
    <w:basedOn w:val="TableNormal"/>
    <w:uiPriority w:val="49"/>
    <w:rsid w:val="003345D0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3345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45D0"/>
    <w:rPr>
      <w:lang w:val="en-US"/>
    </w:rPr>
  </w:style>
  <w:style w:type="paragraph" w:styleId="ListParagraph">
    <w:name w:val="List Paragraph"/>
    <w:basedOn w:val="Normal"/>
    <w:uiPriority w:val="34"/>
    <w:qFormat/>
    <w:rsid w:val="003345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8636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636C"/>
    <w:rPr>
      <w:rFonts w:ascii="Segoe UI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semiHidden/>
    <w:unhideWhenUsed/>
    <w:rsid w:val="004877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877F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877FE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7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77FE"/>
    <w:rPr>
      <w:b/>
      <w:bCs/>
      <w:sz w:val="20"/>
      <w:szCs w:val="20"/>
      <w:lang w:val="en-US"/>
    </w:rPr>
  </w:style>
  <w:style w:type="table" w:customStyle="1" w:styleId="InfowayTable">
    <w:name w:val="Infoway Table"/>
    <w:basedOn w:val="TableNormal"/>
    <w:uiPriority w:val="99"/>
    <w:rsid w:val="002F574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ajorHAnsi" w:hAnsiTheme="majorHAnsi"/>
        <w:b/>
        <w:sz w:val="24"/>
      </w:rPr>
      <w:tblPr/>
      <w:tcPr>
        <w:shd w:val="clear" w:color="auto" w:fill="000000" w:themeFill="text1"/>
      </w:tcPr>
    </w:tblStylePr>
  </w:style>
  <w:style w:type="paragraph" w:customStyle="1" w:styleId="Body">
    <w:name w:val="Body."/>
    <w:basedOn w:val="Normal"/>
    <w:qFormat/>
    <w:rsid w:val="002F574C"/>
    <w:pPr>
      <w:widowControl/>
      <w:spacing w:before="120" w:after="120"/>
    </w:pPr>
    <w:rPr>
      <w:rFonts w:eastAsia="Calibri"/>
      <w:color w:val="000000" w:themeColor="text1"/>
      <w:spacing w:val="-3"/>
      <w:szCs w:val="24"/>
    </w:rPr>
  </w:style>
  <w:style w:type="paragraph" w:customStyle="1" w:styleId="TableData">
    <w:name w:val="Table Data."/>
    <w:basedOn w:val="Normal"/>
    <w:qFormat/>
    <w:rsid w:val="002F574C"/>
    <w:pPr>
      <w:spacing w:before="120" w:after="120"/>
      <w:ind w:right="389"/>
    </w:pPr>
    <w:rPr>
      <w:rFonts w:eastAsia="Calibri" w:cs="Calibri"/>
      <w:szCs w:val="24"/>
    </w:rPr>
  </w:style>
  <w:style w:type="table" w:styleId="GridTable4">
    <w:name w:val="Grid Table 4"/>
    <w:basedOn w:val="TableNormal"/>
    <w:uiPriority w:val="49"/>
    <w:rsid w:val="001B0EF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FooterReportPortraitwithTOC">
    <w:name w:val="Footer Report Portrait with TOC."/>
    <w:basedOn w:val="Normal"/>
    <w:link w:val="FooterReportPortraitwithTOCChar"/>
    <w:qFormat/>
    <w:rsid w:val="00F76DA3"/>
    <w:pPr>
      <w:pBdr>
        <w:top w:val="single" w:sz="4" w:space="10" w:color="A6A6A6" w:themeColor="background1" w:themeShade="A6"/>
      </w:pBdr>
      <w:tabs>
        <w:tab w:val="right" w:pos="10440"/>
      </w:tabs>
      <w:spacing w:before="120" w:after="120" w:line="276" w:lineRule="auto"/>
    </w:pPr>
    <w:rPr>
      <w:noProof/>
    </w:rPr>
  </w:style>
  <w:style w:type="character" w:customStyle="1" w:styleId="FooterReportPortraitwithTOCChar">
    <w:name w:val="Footer Report Portrait with TOC. Char"/>
    <w:basedOn w:val="DefaultParagraphFont"/>
    <w:link w:val="FooterReportPortraitwithTOC"/>
    <w:rsid w:val="00F76DA3"/>
    <w:rPr>
      <w:noProof/>
      <w:lang w:val="en-US"/>
    </w:rPr>
  </w:style>
  <w:style w:type="paragraph" w:styleId="Revision">
    <w:name w:val="Revision"/>
    <w:hidden/>
    <w:uiPriority w:val="99"/>
    <w:semiHidden/>
    <w:rsid w:val="00E831D8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DA0C48139ADB49BD04E43896F9989B" ma:contentTypeVersion="4" ma:contentTypeDescription="Create a new document." ma:contentTypeScope="" ma:versionID="e0f5fb1e8b8969d4a28cc955094cd794">
  <xsd:schema xmlns:xsd="http://www.w3.org/2001/XMLSchema" xmlns:xs="http://www.w3.org/2001/XMLSchema" xmlns:p="http://schemas.microsoft.com/office/2006/metadata/properties" xmlns:ns2="92da6ecc-c20b-4a90-921b-0625e068fc27" targetNamespace="http://schemas.microsoft.com/office/2006/metadata/properties" ma:root="true" ma:fieldsID="e6faa006f9cd3afbc5be0a75c2c385c0" ns2:_="">
    <xsd:import namespace="92da6ecc-c20b-4a90-921b-0625e068fc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a6ecc-c20b-4a90-921b-0625e068fc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51330C-B515-4962-B59C-9315BDDF94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a6ecc-c20b-4a90-921b-0625e068fc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61E807-979A-4CF3-A91E-B2AA682A77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F7B459-68B0-43E6-A795-0663F855E23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Canada Health Infoway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amwestgate@infoway-inforoute.ca</dc:creator>
  <cp:keywords/>
  <dc:description/>
  <cp:lastModifiedBy>Westgate , Ann-Marie</cp:lastModifiedBy>
  <cp:revision>36</cp:revision>
  <cp:lastPrinted>2019-06-10T19:23:00Z</cp:lastPrinted>
  <dcterms:created xsi:type="dcterms:W3CDTF">2021-05-31T01:27:00Z</dcterms:created>
  <dcterms:modified xsi:type="dcterms:W3CDTF">2021-06-28T13:54:00Z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0x0101003ADA0C48139ADB49BD04E43896F9989B</vt:lpwstr>
  </property>
</Properties>
</file>